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3C876" w14:textId="77777777" w:rsidR="0053486F" w:rsidRPr="00796CB8" w:rsidRDefault="0053486F" w:rsidP="008C146F">
      <w:pPr>
        <w:snapToGrid w:val="0"/>
        <w:spacing w:line="360" w:lineRule="exact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Supplementary f</w:t>
      </w:r>
      <w:r w:rsidRPr="00796CB8">
        <w:rPr>
          <w:rFonts w:ascii="Arial" w:hAnsi="Arial" w:cs="Arial"/>
          <w:b/>
          <w:bCs/>
          <w:color w:val="000000" w:themeColor="text1"/>
          <w:sz w:val="24"/>
          <w:szCs w:val="24"/>
        </w:rPr>
        <w:t>igure legends</w:t>
      </w:r>
    </w:p>
    <w:p w14:paraId="7ABE5D49" w14:textId="77777777" w:rsidR="0053486F" w:rsidRDefault="0053486F" w:rsidP="008C146F">
      <w:pPr>
        <w:snapToGrid w:val="0"/>
        <w:spacing w:line="360" w:lineRule="exact"/>
        <w:ind w:firstLineChars="100" w:firstLine="24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A0EB381" w14:textId="68847FFF" w:rsidR="0053486F" w:rsidRPr="00E85E90" w:rsidRDefault="00E85E90" w:rsidP="008C146F">
      <w:pPr>
        <w:autoSpaceDE w:val="0"/>
        <w:autoSpaceDN w:val="0"/>
        <w:adjustRightInd w:val="0"/>
        <w:spacing w:line="360" w:lineRule="exact"/>
        <w:jc w:val="left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E85E90">
        <w:rPr>
          <w:rFonts w:ascii="Arial" w:hAnsi="Arial" w:cs="Arial" w:hint="eastAsia"/>
          <w:b/>
          <w:bCs/>
          <w:color w:val="000000" w:themeColor="text1"/>
          <w:kern w:val="0"/>
          <w:sz w:val="24"/>
          <w:szCs w:val="24"/>
        </w:rPr>
        <w:t>S</w:t>
      </w:r>
      <w:r w:rsidRPr="00E85E90">
        <w:rPr>
          <w:rFonts w:ascii="Arial" w:hAnsi="Arial" w:cs="Arial"/>
          <w:b/>
          <w:bCs/>
          <w:color w:val="000000" w:themeColor="text1"/>
          <w:kern w:val="0"/>
          <w:sz w:val="24"/>
          <w:szCs w:val="24"/>
        </w:rPr>
        <w:t xml:space="preserve">upplementary figure </w:t>
      </w:r>
      <w:r w:rsidR="00C25D9A">
        <w:rPr>
          <w:rFonts w:ascii="Arial" w:hAnsi="Arial" w:cs="Arial"/>
          <w:b/>
          <w:bCs/>
          <w:color w:val="000000" w:themeColor="text1"/>
          <w:kern w:val="0"/>
          <w:sz w:val="24"/>
          <w:szCs w:val="24"/>
        </w:rPr>
        <w:t>1</w:t>
      </w:r>
      <w:r w:rsidRPr="00E85E90">
        <w:rPr>
          <w:rFonts w:ascii="Arial" w:hAnsi="Arial" w:cs="Arial"/>
          <w:b/>
          <w:bCs/>
          <w:color w:val="000000" w:themeColor="text1"/>
          <w:kern w:val="0"/>
          <w:sz w:val="24"/>
          <w:szCs w:val="24"/>
        </w:rPr>
        <w:t>.</w:t>
      </w:r>
      <w:r>
        <w:rPr>
          <w:rFonts w:ascii="Arial" w:hAnsi="Arial" w:cs="Arial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796CB8">
        <w:rPr>
          <w:rFonts w:ascii="Arial" w:eastAsia="TimesNewRoman" w:hAnsi="Arial" w:cs="Arial"/>
          <w:bCs/>
          <w:color w:val="000000" w:themeColor="text1"/>
          <w:sz w:val="24"/>
          <w:szCs w:val="24"/>
        </w:rPr>
        <w:t>Receiver operating characteristic curve analysis</w:t>
      </w:r>
      <w:r w:rsidRPr="00667ACC">
        <w:rPr>
          <w:rFonts w:ascii="Arial" w:eastAsia="TimesNewRoman" w:hAnsi="Arial" w:cs="Arial"/>
          <w:bCs/>
          <w:color w:val="000000" w:themeColor="text1"/>
          <w:sz w:val="24"/>
          <w:szCs w:val="24"/>
        </w:rPr>
        <w:t xml:space="preserve"> </w:t>
      </w:r>
      <w:r w:rsidRPr="00796CB8">
        <w:rPr>
          <w:rFonts w:ascii="Arial" w:eastAsia="TimesNewRoman" w:hAnsi="Arial" w:cs="Arial"/>
          <w:sz w:val="24"/>
          <w:szCs w:val="24"/>
        </w:rPr>
        <w:t>and area under curve</w:t>
      </w:r>
      <w:r w:rsidRPr="00796CB8">
        <w:rPr>
          <w:rFonts w:ascii="Arial" w:eastAsia="TimesNewRoman" w:hAnsi="Arial" w:cs="Arial"/>
          <w:color w:val="000000" w:themeColor="text1"/>
          <w:sz w:val="24"/>
          <w:szCs w:val="24"/>
        </w:rPr>
        <w:t xml:space="preserve"> (AUC) value</w:t>
      </w:r>
      <w:r w:rsidRPr="00796CB8">
        <w:rPr>
          <w:rFonts w:ascii="Arial" w:eastAsia="TimesNewRoman" w:hAnsi="Arial" w:cs="Arial"/>
          <w:bCs/>
          <w:color w:val="000000" w:themeColor="text1"/>
          <w:sz w:val="24"/>
          <w:szCs w:val="24"/>
        </w:rPr>
        <w:t xml:space="preserve"> for predictive performance of </w:t>
      </w:r>
      <w:r>
        <w:rPr>
          <w:rFonts w:ascii="Arial" w:eastAsia="TimesNewRoman" w:hAnsi="Arial" w:cs="Arial"/>
          <w:bCs/>
          <w:color w:val="000000" w:themeColor="text1"/>
          <w:sz w:val="24"/>
          <w:szCs w:val="24"/>
        </w:rPr>
        <w:t>cirrhosis-related parameters</w:t>
      </w:r>
      <w:r w:rsidRPr="00796CB8">
        <w:rPr>
          <w:rFonts w:ascii="Arial" w:eastAsia="TimesNewRoman" w:hAnsi="Arial" w:cs="Arial"/>
          <w:bCs/>
          <w:color w:val="000000" w:themeColor="text1"/>
          <w:sz w:val="24"/>
          <w:szCs w:val="24"/>
        </w:rPr>
        <w:t xml:space="preserve"> for impairment of number connection test-B.</w:t>
      </w:r>
    </w:p>
    <w:p w14:paraId="21096030" w14:textId="77777777" w:rsidR="0053486F" w:rsidRPr="00873E4A" w:rsidRDefault="0053486F" w:rsidP="008C146F">
      <w:pPr>
        <w:autoSpaceDE w:val="0"/>
        <w:autoSpaceDN w:val="0"/>
        <w:adjustRightInd w:val="0"/>
        <w:spacing w:line="360" w:lineRule="exact"/>
        <w:jc w:val="left"/>
        <w:rPr>
          <w:rFonts w:ascii="Arial" w:eastAsia="TimesNewRoman" w:hAnsi="Arial" w:cs="Arial"/>
          <w:bCs/>
          <w:color w:val="000000" w:themeColor="text1"/>
          <w:sz w:val="24"/>
          <w:szCs w:val="24"/>
        </w:rPr>
      </w:pPr>
      <w:r w:rsidRPr="00667ACC">
        <w:rPr>
          <w:rFonts w:ascii="Arial" w:eastAsia="TimesNewRoman" w:hAnsi="Arial" w:cs="Arial"/>
          <w:bCs/>
          <w:color w:val="000000" w:themeColor="text1"/>
          <w:sz w:val="24"/>
          <w:szCs w:val="24"/>
        </w:rPr>
        <w:t>w/o PSS</w:t>
      </w:r>
      <w:r>
        <w:rPr>
          <w:rFonts w:ascii="Arial" w:eastAsia="TimesNewRoman" w:hAnsi="Arial" w:cs="Arial"/>
          <w:bCs/>
          <w:color w:val="000000" w:themeColor="text1"/>
          <w:sz w:val="24"/>
          <w:szCs w:val="24"/>
        </w:rPr>
        <w:t>;</w:t>
      </w:r>
      <w:r w:rsidRPr="00667ACC">
        <w:rPr>
          <w:rFonts w:ascii="Arial" w:eastAsia="TimesNewRoman" w:hAnsi="Arial" w:cs="Arial"/>
          <w:bCs/>
          <w:color w:val="000000" w:themeColor="text1"/>
          <w:sz w:val="24"/>
          <w:szCs w:val="24"/>
        </w:rPr>
        <w:t xml:space="preserve"> without portosystemic shunt</w:t>
      </w:r>
      <w:r w:rsidR="00E85E90">
        <w:rPr>
          <w:rFonts w:ascii="Arial" w:eastAsia="TimesNewRoman" w:hAnsi="Arial" w:cs="Arial" w:hint="eastAsia"/>
          <w:bCs/>
          <w:color w:val="000000" w:themeColor="text1"/>
          <w:sz w:val="24"/>
          <w:szCs w:val="24"/>
        </w:rPr>
        <w:t>,</w:t>
      </w:r>
      <w:r w:rsidR="00E85E90">
        <w:rPr>
          <w:rFonts w:ascii="Arial" w:eastAsia="TimesNewRoman" w:hAnsi="Arial" w:cs="Arial"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kern w:val="0"/>
          <w:sz w:val="24"/>
          <w:szCs w:val="24"/>
        </w:rPr>
        <w:t>B</w:t>
      </w:r>
      <w:r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TR; </w:t>
      </w:r>
      <w:r w:rsidRPr="005A36FF">
        <w:rPr>
          <w:rFonts w:ascii="Arial" w:hAnsi="Arial" w:cs="Arial"/>
          <w:color w:val="000000" w:themeColor="text1"/>
          <w:kern w:val="0"/>
          <w:sz w:val="24"/>
          <w:szCs w:val="24"/>
        </w:rPr>
        <w:t>branched-chain amino acids-to-tyrosine ratio</w:t>
      </w:r>
      <w:r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, PT-INR; </w:t>
      </w:r>
      <w:r w:rsidRPr="005A36FF">
        <w:rPr>
          <w:rFonts w:ascii="Arial" w:hAnsi="Arial" w:cs="Arial"/>
          <w:color w:val="000000" w:themeColor="text1"/>
          <w:kern w:val="0"/>
          <w:sz w:val="24"/>
          <w:szCs w:val="24"/>
        </w:rPr>
        <w:t>prothrombin time–international normalized ratio</w:t>
      </w:r>
      <w:r>
        <w:rPr>
          <w:rFonts w:ascii="Arial" w:hAnsi="Arial" w:cs="Arial"/>
          <w:color w:val="000000" w:themeColor="text1"/>
          <w:kern w:val="0"/>
          <w:sz w:val="24"/>
          <w:szCs w:val="24"/>
        </w:rPr>
        <w:t>, Ammonia; serum ammonia level, T-</w:t>
      </w:r>
      <w:proofErr w:type="spellStart"/>
      <w:r>
        <w:rPr>
          <w:rFonts w:ascii="Arial" w:hAnsi="Arial" w:cs="Arial"/>
          <w:color w:val="000000" w:themeColor="text1"/>
          <w:kern w:val="0"/>
          <w:sz w:val="24"/>
          <w:szCs w:val="24"/>
        </w:rPr>
        <w:t>bil</w:t>
      </w:r>
      <w:proofErr w:type="spellEnd"/>
      <w:r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; </w:t>
      </w:r>
      <w:r w:rsidRPr="005A36FF">
        <w:rPr>
          <w:rFonts w:ascii="Arial" w:eastAsia="TimesNewRoman" w:hAnsi="Arial" w:cs="Arial"/>
          <w:sz w:val="24"/>
          <w:szCs w:val="24"/>
        </w:rPr>
        <w:t>total bilirubin level</w:t>
      </w:r>
      <w:r>
        <w:rPr>
          <w:rFonts w:ascii="Arial" w:eastAsia="TimesNewRoman" w:hAnsi="Arial" w:cs="Arial"/>
          <w:sz w:val="24"/>
          <w:szCs w:val="24"/>
        </w:rPr>
        <w:t>.</w:t>
      </w:r>
    </w:p>
    <w:p w14:paraId="7FBBE2E2" w14:textId="77777777" w:rsidR="00243EF1" w:rsidRPr="0053486F" w:rsidRDefault="00243EF1" w:rsidP="008C146F">
      <w:pPr>
        <w:spacing w:line="360" w:lineRule="exact"/>
      </w:pPr>
      <w:bookmarkStart w:id="0" w:name="_GoBack"/>
      <w:bookmarkEnd w:id="0"/>
    </w:p>
    <w:sectPr w:rsidR="00243EF1" w:rsidRPr="0053486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61F135" w14:textId="77777777" w:rsidR="00C25D9A" w:rsidRDefault="00C25D9A" w:rsidP="00C25D9A">
      <w:r>
        <w:separator/>
      </w:r>
    </w:p>
  </w:endnote>
  <w:endnote w:type="continuationSeparator" w:id="0">
    <w:p w14:paraId="6274399D" w14:textId="77777777" w:rsidR="00C25D9A" w:rsidRDefault="00C25D9A" w:rsidP="00C25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BF05FD" w14:textId="77777777" w:rsidR="00C25D9A" w:rsidRDefault="00C25D9A" w:rsidP="00C25D9A">
      <w:r>
        <w:separator/>
      </w:r>
    </w:p>
  </w:footnote>
  <w:footnote w:type="continuationSeparator" w:id="0">
    <w:p w14:paraId="6BB71808" w14:textId="77777777" w:rsidR="00C25D9A" w:rsidRDefault="00C25D9A" w:rsidP="00C25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86F"/>
    <w:rsid w:val="00243EF1"/>
    <w:rsid w:val="0053486F"/>
    <w:rsid w:val="008C146F"/>
    <w:rsid w:val="00C25D9A"/>
    <w:rsid w:val="00E8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3E5F05"/>
  <w15:chartTrackingRefBased/>
  <w15:docId w15:val="{9444BD52-CE66-42C6-9275-8358B1DF7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ja-JP" w:bidi="bn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486F"/>
    <w:pPr>
      <w:widowControl w:val="0"/>
      <w:jc w:val="both"/>
    </w:pPr>
    <w:rPr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5D9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5D9A"/>
    <w:rPr>
      <w:szCs w:val="22"/>
      <w:lang w:bidi="ar-SA"/>
    </w:rPr>
  </w:style>
  <w:style w:type="paragraph" w:styleId="a5">
    <w:name w:val="footer"/>
    <w:basedOn w:val="a"/>
    <w:link w:val="a6"/>
    <w:uiPriority w:val="99"/>
    <w:unhideWhenUsed/>
    <w:rsid w:val="00C25D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5D9A"/>
    <w:rPr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Kosuke Kaji</dc:creator>
  <cp:keywords/>
  <dc:description/>
  <cp:lastModifiedBy>Kosuke Kaji</cp:lastModifiedBy>
  <cp:revision>4</cp:revision>
  <dcterms:created xsi:type="dcterms:W3CDTF">2020-01-26T10:50:00Z</dcterms:created>
  <dcterms:modified xsi:type="dcterms:W3CDTF">2020-03-07T03:54:00Z</dcterms:modified>
</cp:coreProperties>
</file>